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73" w:rsidRPr="00E67973" w:rsidRDefault="00E67973" w:rsidP="00E67973">
      <w:pPr>
        <w:pStyle w:val="a3"/>
        <w:spacing w:before="0" w:after="0"/>
        <w:jc w:val="center"/>
        <w:rPr>
          <w:b/>
          <w:color w:val="3B4256"/>
          <w:sz w:val="28"/>
          <w:szCs w:val="28"/>
        </w:rPr>
      </w:pPr>
      <w:r w:rsidRPr="00E67973">
        <w:rPr>
          <w:b/>
          <w:color w:val="3B4256"/>
          <w:sz w:val="28"/>
          <w:szCs w:val="28"/>
        </w:rPr>
        <w:t>Объявление</w:t>
      </w:r>
      <w:proofErr w:type="gramStart"/>
      <w:r w:rsidRPr="00E67973">
        <w:rPr>
          <w:b/>
          <w:color w:val="3B4256"/>
          <w:sz w:val="28"/>
          <w:szCs w:val="28"/>
        </w:rPr>
        <w:t xml:space="preserve"> О</w:t>
      </w:r>
      <w:proofErr w:type="gramEnd"/>
      <w:r w:rsidRPr="00E67973">
        <w:rPr>
          <w:b/>
          <w:color w:val="3B4256"/>
          <w:sz w:val="28"/>
          <w:szCs w:val="28"/>
        </w:rPr>
        <w:t xml:space="preserve"> проведении конкурса на замещение вакантных должностей федеральной государственной гражданской службы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 xml:space="preserve">Межрегиональное управление </w:t>
      </w:r>
      <w:proofErr w:type="spellStart"/>
      <w:r>
        <w:rPr>
          <w:rFonts w:ascii="Regular" w:hAnsi="Regular"/>
          <w:color w:val="3B4256"/>
          <w:sz w:val="22"/>
          <w:szCs w:val="22"/>
        </w:rPr>
        <w:t>Росприроднадзора</w:t>
      </w:r>
      <w:proofErr w:type="spellEnd"/>
      <w:r>
        <w:rPr>
          <w:rFonts w:ascii="Regular" w:hAnsi="Regular"/>
          <w:color w:val="3B4256"/>
          <w:sz w:val="22"/>
          <w:szCs w:val="22"/>
        </w:rPr>
        <w:t xml:space="preserve"> по Нижегородской области и республике Мордовия объявляет </w:t>
      </w:r>
      <w:proofErr w:type="gramStart"/>
      <w:r>
        <w:rPr>
          <w:rFonts w:ascii="Regular" w:hAnsi="Regular"/>
          <w:color w:val="3B4256"/>
          <w:sz w:val="22"/>
          <w:szCs w:val="22"/>
        </w:rPr>
        <w:t>о проведении конкурса на замещение следующих </w:t>
      </w:r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вакантных должностей</w:t>
      </w:r>
      <w:r>
        <w:rPr>
          <w:rFonts w:ascii="Regular" w:hAnsi="Regular"/>
          <w:color w:val="3B4256"/>
          <w:sz w:val="22"/>
          <w:szCs w:val="22"/>
        </w:rPr>
        <w:t> государственной гражданской службы в Межрегиональном управлении Федеральной службы по надзору в сфере</w:t>
      </w:r>
      <w:proofErr w:type="gramEnd"/>
      <w:r>
        <w:rPr>
          <w:rFonts w:ascii="Regular" w:hAnsi="Regular"/>
          <w:color w:val="3B4256"/>
          <w:sz w:val="22"/>
          <w:szCs w:val="22"/>
        </w:rPr>
        <w:t xml:space="preserve"> природопользования по Приволжскому федеральному округу (далее - конкурс):</w:t>
      </w:r>
      <w:bookmarkStart w:id="0" w:name="_GoBack"/>
      <w:bookmarkEnd w:id="0"/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С прохождением федеральной государственной гражданской службы в городе Нижнем Новгороде и Республике Мордовия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Старшая группа должностей, категория «специалисты»: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- специалист-эксперт отдела государственной экологической экспертизы и разрешительной деятельности;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- главный специалист-эксперт отдела государственной экологической экспертизы и разрешительной деятельности;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- специалист-эксперт отдела государственного экологического надзора по Нижегородской области.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Ведущая группа должностей, категория «специалисты»: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- консультант межрегионального отдела правового и кадрового обеспечения.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 xml:space="preserve">Государственные гражданские служащие, замещающие должности государственной гражданской службы в Межрегиональном управлении </w:t>
      </w:r>
      <w:proofErr w:type="spellStart"/>
      <w:r>
        <w:rPr>
          <w:rFonts w:ascii="Regular" w:hAnsi="Regular"/>
          <w:color w:val="3B4256"/>
          <w:sz w:val="22"/>
          <w:szCs w:val="22"/>
        </w:rPr>
        <w:t>Росприроднадзора</w:t>
      </w:r>
      <w:proofErr w:type="spellEnd"/>
      <w:r>
        <w:rPr>
          <w:rFonts w:ascii="Regular" w:hAnsi="Regular"/>
          <w:color w:val="3B4256"/>
          <w:sz w:val="22"/>
          <w:szCs w:val="22"/>
        </w:rPr>
        <w:t xml:space="preserve"> по Нижегородской области и Республике Мордовия, изъявившие желание участвовать в конкурсе, подают заявление на имя представителя нанимателя.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личное </w:t>
      </w:r>
      <w:hyperlink r:id="rId5" w:history="1">
        <w:r>
          <w:rPr>
            <w:rStyle w:val="a4"/>
            <w:rFonts w:ascii="Regular" w:hAnsi="Regular"/>
            <w:color w:val="4A9D86"/>
            <w:sz w:val="22"/>
            <w:szCs w:val="22"/>
            <w:u w:val="none"/>
            <w:bdr w:val="none" w:sz="0" w:space="0" w:color="auto" w:frame="1"/>
          </w:rPr>
          <w:t>заявление</w:t>
        </w:r>
      </w:hyperlink>
      <w:r>
        <w:rPr>
          <w:rFonts w:ascii="Regular" w:hAnsi="Regular"/>
          <w:color w:val="3B4256"/>
          <w:sz w:val="22"/>
          <w:szCs w:val="22"/>
        </w:rPr>
        <w:t>;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собственноручно заполненную и подписанную </w:t>
      </w:r>
      <w:hyperlink r:id="rId6" w:history="1">
        <w:r>
          <w:rPr>
            <w:rStyle w:val="a4"/>
            <w:rFonts w:ascii="Regular" w:hAnsi="Regular"/>
            <w:color w:val="4A9D86"/>
            <w:sz w:val="22"/>
            <w:szCs w:val="22"/>
            <w:u w:val="none"/>
            <w:bdr w:val="none" w:sz="0" w:space="0" w:color="auto" w:frame="1"/>
          </w:rPr>
          <w:t>анкету</w:t>
        </w:r>
      </w:hyperlink>
      <w:r>
        <w:rPr>
          <w:rFonts w:ascii="Regular" w:hAnsi="Regular"/>
          <w:color w:val="3B4256"/>
          <w:sz w:val="22"/>
          <w:szCs w:val="22"/>
        </w:rPr>
        <w:t> по форме, утвержденной распоряжением Правительства РФ от 26 мая 2005 г.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(3*4)</w:t>
      </w:r>
      <w:proofErr w:type="gramStart"/>
      <w:r>
        <w:rPr>
          <w:rFonts w:ascii="Regular" w:hAnsi="Regular"/>
          <w:color w:val="3B4256"/>
          <w:sz w:val="22"/>
          <w:szCs w:val="22"/>
        </w:rPr>
        <w:t> ;</w:t>
      </w:r>
      <w:proofErr w:type="gramEnd"/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 </w:t>
      </w:r>
      <w:r>
        <w:rPr>
          <w:rFonts w:ascii="Regular" w:hAnsi="Regular"/>
          <w:color w:val="3B4256"/>
          <w:sz w:val="22"/>
          <w:szCs w:val="22"/>
          <w:bdr w:val="none" w:sz="0" w:space="0" w:color="auto" w:frame="1"/>
        </w:rPr>
        <w:t xml:space="preserve">заверенную нотариально или кадровой службой по месту работы </w:t>
      </w:r>
      <w:r>
        <w:rPr>
          <w:rFonts w:ascii="Regular" w:hAnsi="Regular"/>
          <w:color w:val="3B4256"/>
          <w:sz w:val="22"/>
          <w:szCs w:val="22"/>
          <w:bdr w:val="none" w:sz="0" w:space="0" w:color="auto" w:frame="1"/>
        </w:rPr>
        <w:lastRenderedPageBreak/>
        <w:t>(службы)</w:t>
      </w:r>
      <w:r>
        <w:rPr>
          <w:rFonts w:ascii="Regular" w:hAnsi="Regular"/>
          <w:color w:val="3B4256"/>
          <w:sz w:val="22"/>
          <w:szCs w:val="22"/>
        </w:rPr>
        <w:t>, или иные документы, подтверждающие трудовую (служебную) деятельность гражданина;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>
        <w:rPr>
          <w:rFonts w:ascii="Regular" w:hAnsi="Regular"/>
          <w:color w:val="3B4256"/>
          <w:sz w:val="22"/>
          <w:szCs w:val="22"/>
          <w:bdr w:val="none" w:sz="0" w:space="0" w:color="auto" w:frame="1"/>
        </w:rPr>
        <w:t>заверенные нотариально или кадровой службой по месту работы (службы)</w:t>
      </w:r>
      <w:r>
        <w:rPr>
          <w:rFonts w:ascii="Regular" w:hAnsi="Regular"/>
          <w:color w:val="3B4256"/>
          <w:sz w:val="22"/>
          <w:szCs w:val="22"/>
        </w:rPr>
        <w:t>;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- сведения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государственной гражданской службы, размещались общедоступная информация, а  также данные, позволяющие его идентифицировать (за три календарных года  – 2018-2020 гг.) по </w:t>
      </w:r>
      <w:hyperlink r:id="rId7" w:history="1">
        <w:r>
          <w:rPr>
            <w:rStyle w:val="a4"/>
            <w:rFonts w:ascii="Regular" w:hAnsi="Regular"/>
            <w:color w:val="4A9D86"/>
            <w:sz w:val="22"/>
            <w:szCs w:val="22"/>
            <w:u w:val="none"/>
            <w:bdr w:val="none" w:sz="0" w:space="0" w:color="auto" w:frame="1"/>
          </w:rPr>
          <w:t>форме</w:t>
        </w:r>
      </w:hyperlink>
      <w:r>
        <w:rPr>
          <w:rFonts w:ascii="Regular" w:hAnsi="Regular"/>
          <w:color w:val="3B4256"/>
          <w:sz w:val="22"/>
          <w:szCs w:val="22"/>
        </w:rPr>
        <w:t>, утвержденной распоряжением Правительства РФ от 28 декабря 2016 г. № 2867-р.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Методические рекомендации по заполнению формы об адресах сайтов размещены на официальном сайте Минтруда России </w:t>
      </w:r>
      <w:hyperlink r:id="rId8" w:history="1">
        <w:r>
          <w:rPr>
            <w:rStyle w:val="a4"/>
            <w:rFonts w:ascii="Regular" w:hAnsi="Regular"/>
            <w:color w:val="4A9D86"/>
            <w:sz w:val="22"/>
            <w:szCs w:val="22"/>
            <w:u w:val="none"/>
            <w:bdr w:val="none" w:sz="0" w:space="0" w:color="auto" w:frame="1"/>
          </w:rPr>
          <w:t>http://www.rosmintrud.ru/ministry/programms/gossluzhba/16/11</w:t>
        </w:r>
      </w:hyperlink>
      <w:r>
        <w:rPr>
          <w:rFonts w:ascii="Regular" w:hAnsi="Regular"/>
          <w:color w:val="3B4256"/>
          <w:sz w:val="22"/>
          <w:szCs w:val="22"/>
        </w:rPr>
        <w:t>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Государственные гражданские служащие, замещающие должности государственной гражданской службы в иных государственных органах, изъявившие желание участвовать в конкурсе, представляют: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1.Заявление на имя представителя нанимателя;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2.Заполненную,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распоряжением Правительства Российской Федерации от 26 мая 2005 г. № 667-р, с фотографией (3*4).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 xml:space="preserve">Претенденты более подробную информацию об условиях и порядке проведения конкурса можно получить </w:t>
      </w:r>
      <w:proofErr w:type="gramStart"/>
      <w:r>
        <w:rPr>
          <w:rFonts w:ascii="Regular" w:hAnsi="Regular"/>
          <w:color w:val="3B4256"/>
          <w:sz w:val="22"/>
          <w:szCs w:val="22"/>
        </w:rPr>
        <w:t>по</w:t>
      </w:r>
      <w:proofErr w:type="gramEnd"/>
      <w:r>
        <w:rPr>
          <w:rFonts w:ascii="Regular" w:hAnsi="Regular"/>
          <w:color w:val="3B4256"/>
          <w:sz w:val="22"/>
          <w:szCs w:val="22"/>
        </w:rPr>
        <w:t xml:space="preserve"> тел:8(831)422-42-20.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>
        <w:rPr>
          <w:rFonts w:ascii="Regular" w:hAnsi="Regular"/>
          <w:color w:val="3B4256"/>
          <w:sz w:val="22"/>
          <w:szCs w:val="22"/>
        </w:rPr>
        <w:t xml:space="preserve">Второй этап проводится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</w:t>
      </w:r>
      <w:r>
        <w:rPr>
          <w:rFonts w:ascii="Regular" w:hAnsi="Regular"/>
          <w:color w:val="3B4256"/>
          <w:sz w:val="22"/>
          <w:szCs w:val="22"/>
        </w:rPr>
        <w:lastRenderedPageBreak/>
        <w:t>также знаний сферы деятельности на замещение вакантной должности государственной гражданской службы, на замещение которой претендуют</w:t>
      </w:r>
      <w:proofErr w:type="gramEnd"/>
      <w:r>
        <w:rPr>
          <w:rFonts w:ascii="Regular" w:hAnsi="Regular"/>
          <w:color w:val="3B4256"/>
          <w:sz w:val="22"/>
          <w:szCs w:val="22"/>
        </w:rPr>
        <w:t xml:space="preserve"> кандидаты.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В качестве предварительного теста используется тест, размещенный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«Профессиональное развитие» (</w:t>
      </w:r>
      <w:hyperlink r:id="rId9" w:history="1">
        <w:r>
          <w:rPr>
            <w:rStyle w:val="a4"/>
            <w:rFonts w:ascii="Regular" w:hAnsi="Regular"/>
            <w:color w:val="4A9D86"/>
            <w:sz w:val="22"/>
            <w:szCs w:val="22"/>
            <w:u w:val="none"/>
            <w:bdr w:val="none" w:sz="0" w:space="0" w:color="auto" w:frame="1"/>
          </w:rPr>
          <w:t>https://gossluzhba.gov.ru/self-assessment</w:t>
        </w:r>
      </w:hyperlink>
      <w:proofErr w:type="gramStart"/>
      <w:r>
        <w:rPr>
          <w:rFonts w:ascii="Regular" w:hAnsi="Regular"/>
          <w:color w:val="3B4256"/>
          <w:sz w:val="22"/>
          <w:szCs w:val="22"/>
        </w:rPr>
        <w:t> )</w:t>
      </w:r>
      <w:proofErr w:type="gramEnd"/>
      <w:r>
        <w:rPr>
          <w:rFonts w:ascii="Regular" w:hAnsi="Regular"/>
          <w:color w:val="3B4256"/>
          <w:sz w:val="22"/>
          <w:szCs w:val="22"/>
        </w:rPr>
        <w:t>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Сообщение о дате, месте и времени проведения второго этапа конкурса направляется кандидатам в письменной форме не позднее, чем за 15 дней до его начала.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К претендентам на замещение указанных должностей предъявляются следующие требования: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владение государственным языком Российской Федерации, российское гражданство;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наличие высшего образования в сфере, соответствующей направлению деятельности структурного подразделения;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для соискателей на данные должности – без предъявления требований к стажу работы.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Прием документов для участия в конкурсе будет осуществляться с  20 декабря 2021 г. по  10 января 2022 г.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Время приема документов: с 08 часов 30 минут до 16 часов 30 минут, обед  с 12 часов 30 минут до 13 часов 18 минут.</w:t>
      </w:r>
    </w:p>
    <w:p w:rsidR="00E67973" w:rsidRDefault="00E67973" w:rsidP="00E67973">
      <w:pPr>
        <w:pStyle w:val="a3"/>
        <w:spacing w:before="0" w:after="0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 xml:space="preserve">Адрес приема документов: 603000, г. Нижний Новгород, ул. М. Горького, д. 150, </w:t>
      </w:r>
      <w:proofErr w:type="spellStart"/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каб</w:t>
      </w:r>
      <w:proofErr w:type="spellEnd"/>
      <w:r>
        <w:rPr>
          <w:rFonts w:ascii="Bold" w:hAnsi="Bold"/>
          <w:color w:val="3B4256"/>
          <w:sz w:val="22"/>
          <w:szCs w:val="22"/>
          <w:bdr w:val="none" w:sz="0" w:space="0" w:color="auto" w:frame="1"/>
        </w:rPr>
        <w:t>. 803, пн.- пт.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Предполагаемая дата проведения второго этапа конкурса 26 января 2022 г. Сообщение о дате, месте и времени проведения второго этапа конкурса будет объявлено кандидатам дополнительно. </w:t>
      </w:r>
    </w:p>
    <w:p w:rsidR="00E67973" w:rsidRDefault="00E67973" w:rsidP="00E67973">
      <w:pPr>
        <w:pStyle w:val="a3"/>
        <w:jc w:val="both"/>
        <w:rPr>
          <w:rFonts w:ascii="Regular" w:hAnsi="Regular"/>
          <w:color w:val="3B4256"/>
          <w:sz w:val="22"/>
          <w:szCs w:val="22"/>
        </w:rPr>
      </w:pPr>
      <w:r>
        <w:rPr>
          <w:rFonts w:ascii="Regular" w:hAnsi="Regular"/>
          <w:color w:val="3B4256"/>
          <w:sz w:val="22"/>
          <w:szCs w:val="22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Regular" w:hAnsi="Regular"/>
          <w:color w:val="3B4256"/>
          <w:sz w:val="22"/>
          <w:szCs w:val="22"/>
        </w:rPr>
        <w:t>дств св</w:t>
      </w:r>
      <w:proofErr w:type="gramEnd"/>
      <w:r>
        <w:rPr>
          <w:rFonts w:ascii="Regular" w:hAnsi="Regular"/>
          <w:color w:val="3B4256"/>
          <w:sz w:val="22"/>
          <w:szCs w:val="22"/>
        </w:rPr>
        <w:t>язи и другие), осуществляются кандидатами за счет собственных средств.</w:t>
      </w:r>
    </w:p>
    <w:p w:rsidR="00C71AA8" w:rsidRDefault="00C71AA8"/>
    <w:sectPr w:rsidR="00C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73"/>
    <w:rsid w:val="00C71AA8"/>
    <w:rsid w:val="00E6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upload/iblock/894/Forma-svedeniy-po-saytam%20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pn.gov.ru/upload/iblock/251/Anket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pn.gov.ru/upload/iblock/ee1/Obrazets-zayavleniya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self-assess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2021-12-21T10:23:00Z</dcterms:created>
  <dcterms:modified xsi:type="dcterms:W3CDTF">2021-12-21T10:24:00Z</dcterms:modified>
</cp:coreProperties>
</file>